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E" w:rsidRDefault="00372D2E">
      <w:r>
        <w:separator/>
      </w:r>
    </w:p>
  </w:endnote>
  <w:endnote w:type="continuationSeparator" w:id="0">
    <w:p w:rsidR="00372D2E" w:rsidRDefault="003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9358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E" w:rsidRDefault="00372D2E">
      <w:r>
        <w:separator/>
      </w:r>
    </w:p>
  </w:footnote>
  <w:footnote w:type="continuationSeparator" w:id="0">
    <w:p w:rsidR="00372D2E" w:rsidRDefault="003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372D2E"/>
    <w:rsid w:val="00523684"/>
    <w:rsid w:val="00794B1A"/>
    <w:rsid w:val="007C2953"/>
    <w:rsid w:val="00831E11"/>
    <w:rsid w:val="00893585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</dc:creator>
  <cp:keywords/>
  <dc:description>v.1.19.3031.0.0#2019-09-13</dc:description>
  <cp:lastModifiedBy>Kriszti</cp:lastModifiedBy>
  <cp:revision>2</cp:revision>
  <dcterms:created xsi:type="dcterms:W3CDTF">2019-07-30T08:05:00Z</dcterms:created>
  <dcterms:modified xsi:type="dcterms:W3CDTF">2019-07-30T08:05:00Z</dcterms:modified>
</cp:coreProperties>
</file>